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1019" w:type="dxa"/>
        <w:jc w:val="center"/>
        <w:tblInd w:w="-12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46"/>
        <w:gridCol w:w="788"/>
        <w:gridCol w:w="1147"/>
        <w:gridCol w:w="1184"/>
        <w:gridCol w:w="1176"/>
        <w:gridCol w:w="2740"/>
        <w:gridCol w:w="1738"/>
        <w:gridCol w:w="1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11019" w:type="dxa"/>
            <w:gridSpan w:val="8"/>
            <w:tcBorders>
              <w:top w:val="nil"/>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附件：恢复服务项目列表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类别</w:t>
            </w:r>
          </w:p>
        </w:tc>
        <w:tc>
          <w:tcPr>
            <w:tcW w:w="19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收费项目</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服务内容</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适用对象</w:t>
            </w:r>
          </w:p>
        </w:tc>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收费标准</w:t>
            </w:r>
          </w:p>
        </w:tc>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优惠措施</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92" w:hRule="atLeast"/>
          <w:jc w:val="center"/>
        </w:trPr>
        <w:tc>
          <w:tcPr>
            <w:tcW w:w="6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7.保证见证类</w:t>
            </w:r>
          </w:p>
        </w:tc>
        <w:tc>
          <w:tcPr>
            <w:tcW w:w="7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证明类</w:t>
            </w: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单位存款证明</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开证前，客户在我行某个时点的存款余额，某一时期的存款发生额等业务。</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对公客户</w:t>
            </w:r>
          </w:p>
        </w:tc>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200元/笔或200元/份                      </w:t>
            </w:r>
          </w:p>
        </w:tc>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对公钻石级VIP（含）以上客户全免，对公白金级VIP客户按5折收取，对公金级VIP客户按8折收取。               </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6"/>
                <w:lang w:val="en-US" w:eastAsia="zh-CN" w:bidi="ar"/>
              </w:rPr>
              <w:t xml:space="preserve">自2021年6月1日起小微型企业取消收费，中型企业按照对应VIP级别享受优惠措施，未达到VIP级别的享受金级待遇。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79" w:hRule="atLeast"/>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银行询证函</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为客户开立单位询证函。</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对公客户</w:t>
            </w:r>
          </w:p>
        </w:tc>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200元/笔或200元/份</w:t>
            </w:r>
          </w:p>
        </w:tc>
        <w:tc>
          <w:tcPr>
            <w:tcW w:w="17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right="27" w:rightChars="13"/>
              <w:jc w:val="distribute"/>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单位钻石级VIP（含）以上客户全免，单位白金级VIP客户按5折收取，单位金级VIP客户按8折收取。</w:t>
            </w: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82" w:hRule="atLeast"/>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资信证明</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提供资信证明开立服务。</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对公客户</w:t>
            </w:r>
          </w:p>
        </w:tc>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500元/笔或500元/份</w:t>
            </w:r>
          </w:p>
        </w:tc>
        <w:tc>
          <w:tcPr>
            <w:tcW w:w="17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6"/>
                <w:lang w:val="en-US" w:eastAsia="zh-CN" w:bidi="ar"/>
              </w:rPr>
              <w:t xml:space="preserve">小微型企业取消收费。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60" w:hRule="atLeast"/>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9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对公透支服务</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对公结算账户日间透支手续费</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对公客户</w:t>
            </w:r>
          </w:p>
        </w:tc>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日间透支手续费以日间累计透支发生额减日终转隔夜透支金额为收费基数，按0.0008%收取。</w:t>
            </w:r>
          </w:p>
        </w:tc>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Style w:val="6"/>
                <w:lang w:val="en-US" w:eastAsia="zh-CN" w:bidi="ar"/>
              </w:rPr>
            </w:pPr>
            <w:r>
              <w:rPr>
                <w:rStyle w:val="6"/>
                <w:rFonts w:hint="eastAsia"/>
                <w:lang w:val="en-US" w:eastAsia="zh-CN" w:bidi="ar"/>
              </w:rPr>
              <w:t xml:space="preserve">小微型企业取消收费。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19" w:type="dxa"/>
            <w:gridSpan w:val="8"/>
            <w:tcBorders>
              <w:top w:val="single" w:color="auto" w:sz="4" w:space="0"/>
              <w:left w:val="nil"/>
              <w:bottom w:val="nil"/>
              <w:right w:val="nil"/>
            </w:tcBorders>
            <w:shd w:val="clear" w:color="auto" w:fill="auto"/>
            <w:vAlign w:val="top"/>
          </w:tcPr>
          <w:p>
            <w:pPr>
              <w:keepNext w:val="0"/>
              <w:keepLines w:val="0"/>
              <w:widowControl/>
              <w:suppressLineNumbers w:val="0"/>
              <w:jc w:val="left"/>
              <w:textAlignment w:val="center"/>
              <w:rPr>
                <w:rStyle w:val="6"/>
                <w:rFonts w:hint="eastAsia"/>
                <w:lang w:val="en-US" w:eastAsia="zh-CN" w:bidi="ar"/>
              </w:rPr>
            </w:pPr>
            <w:r>
              <w:rPr>
                <w:rFonts w:hint="eastAsia" w:ascii="宋体" w:hAnsi="宋体" w:eastAsia="宋体" w:cs="宋体"/>
                <w:b/>
                <w:i w:val="0"/>
                <w:color w:val="000000"/>
                <w:kern w:val="0"/>
                <w:sz w:val="30"/>
                <w:szCs w:val="30"/>
                <w:u w:val="none"/>
                <w:lang w:val="en-US" w:eastAsia="zh-CN" w:bidi="ar"/>
              </w:rPr>
              <w:t>自2023年9月1日起按以上标准恢复收费！</w:t>
            </w:r>
          </w:p>
        </w:tc>
      </w:tr>
    </w:tbl>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sectPr>
          <w:pgSz w:w="11906" w:h="16838"/>
          <w:pgMar w:top="1440" w:right="1800" w:bottom="1440" w:left="1800" w:header="851" w:footer="992" w:gutter="0"/>
          <w:cols w:space="425" w:num="1"/>
          <w:docGrid w:type="lines" w:linePitch="312" w:charSpace="0"/>
        </w:sectPr>
      </w:pPr>
    </w:p>
    <w:tbl>
      <w:tblPr>
        <w:tblStyle w:val="3"/>
        <w:tblW w:w="11238" w:type="dxa"/>
        <w:tblInd w:w="-14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51"/>
        <w:gridCol w:w="375"/>
        <w:gridCol w:w="1000"/>
        <w:gridCol w:w="2951"/>
        <w:gridCol w:w="368"/>
        <w:gridCol w:w="768"/>
        <w:gridCol w:w="227"/>
        <w:gridCol w:w="2796"/>
        <w:gridCol w:w="176"/>
        <w:gridCol w:w="778"/>
        <w:gridCol w:w="110"/>
        <w:gridCol w:w="1125"/>
        <w:gridCol w:w="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3" w:type="dxa"/>
          <w:trHeight w:val="480" w:hRule="atLeast"/>
        </w:trPr>
        <w:tc>
          <w:tcPr>
            <w:tcW w:w="11225" w:type="dxa"/>
            <w:gridSpan w:val="12"/>
            <w:tcBorders>
              <w:top w:val="nil"/>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32"/>
                <w:szCs w:val="32"/>
                <w:u w:val="none"/>
                <w:lang w:val="en-US" w:eastAsia="zh-CN" w:bidi="ar"/>
              </w:rPr>
              <w:t>附件：恢复服务项目列表(续）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480" w:hRule="atLeast"/>
        </w:trPr>
        <w:tc>
          <w:tcPr>
            <w:tcW w:w="55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类别</w:t>
            </w:r>
          </w:p>
        </w:tc>
        <w:tc>
          <w:tcPr>
            <w:tcW w:w="137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收费项目</w:t>
            </w:r>
          </w:p>
        </w:tc>
        <w:tc>
          <w:tcPr>
            <w:tcW w:w="295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服务内容</w:t>
            </w:r>
          </w:p>
        </w:tc>
        <w:tc>
          <w:tcPr>
            <w:tcW w:w="113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适用对象</w:t>
            </w:r>
          </w:p>
        </w:tc>
        <w:tc>
          <w:tcPr>
            <w:tcW w:w="3023"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收费标准</w:t>
            </w:r>
          </w:p>
        </w:tc>
        <w:tc>
          <w:tcPr>
            <w:tcW w:w="95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5460" w:leftChars="-2600" w:firstLine="5458" w:firstLineChars="2481"/>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优惠措施</w:t>
            </w:r>
          </w:p>
        </w:tc>
        <w:tc>
          <w:tcPr>
            <w:tcW w:w="123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540"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8.信息咨询类</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常年财务顾问类</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日常财务咨询</w:t>
            </w:r>
          </w:p>
        </w:tc>
        <w:tc>
          <w:tcPr>
            <w:tcW w:w="2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我行充分利用人才、信息、科技等优势，为客户提供的持续性和有偿性财务顾问服务，包括专属咨询服务（提供财务诊断和金融产品等方面的咨询顾问服务）和研究咨询服务（定期或不定期地提供关于宏观经济、金融市场、行业发展和企业管理等方面的信息研究产品）。</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对公客户</w:t>
            </w:r>
          </w:p>
        </w:tc>
        <w:tc>
          <w:tcPr>
            <w:tcW w:w="3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按协议价格收取。参考标准：1-2万元/户/年（小微型企业免收）</w:t>
            </w:r>
          </w:p>
        </w:tc>
        <w:tc>
          <w:tcPr>
            <w:tcW w:w="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5"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54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金融产品咨询</w:t>
            </w:r>
          </w:p>
        </w:tc>
        <w:tc>
          <w:tcPr>
            <w:tcW w:w="2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对公客户</w:t>
            </w:r>
          </w:p>
        </w:tc>
        <w:tc>
          <w:tcPr>
            <w:tcW w:w="3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按协议价格收取。参考标准：2-5万元/户/年（小微型企业免收）</w:t>
            </w:r>
          </w:p>
        </w:tc>
        <w:tc>
          <w:tcPr>
            <w:tcW w:w="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5" w:type="dxa"/>
            <w:gridSpan w:val="2"/>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54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普通增值研究产品</w:t>
            </w:r>
          </w:p>
        </w:tc>
        <w:tc>
          <w:tcPr>
            <w:tcW w:w="2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对公客户</w:t>
            </w:r>
          </w:p>
        </w:tc>
        <w:tc>
          <w:tcPr>
            <w:tcW w:w="3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按协议价格收取。参考标准：3-6万元/户/年（小微型企业免收）</w:t>
            </w:r>
          </w:p>
        </w:tc>
        <w:tc>
          <w:tcPr>
            <w:tcW w:w="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5" w:type="dxa"/>
            <w:gridSpan w:val="2"/>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54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高端增值研究产品</w:t>
            </w:r>
          </w:p>
        </w:tc>
        <w:tc>
          <w:tcPr>
            <w:tcW w:w="2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对公客户</w:t>
            </w:r>
          </w:p>
        </w:tc>
        <w:tc>
          <w:tcPr>
            <w:tcW w:w="3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按协议价格收取。参考标准：4-8万元/户/年（小微型企业免收）</w:t>
            </w:r>
          </w:p>
        </w:tc>
        <w:tc>
          <w:tcPr>
            <w:tcW w:w="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5" w:type="dxa"/>
            <w:gridSpan w:val="2"/>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81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企业投资咨询</w:t>
            </w:r>
          </w:p>
        </w:tc>
        <w:tc>
          <w:tcPr>
            <w:tcW w:w="2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对公客户</w:t>
            </w:r>
          </w:p>
        </w:tc>
        <w:tc>
          <w:tcPr>
            <w:tcW w:w="3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按协议价格收取。参考标准：8-12万元/户/年（小微型企业免收）</w:t>
            </w:r>
          </w:p>
        </w:tc>
        <w:tc>
          <w:tcPr>
            <w:tcW w:w="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5" w:type="dxa"/>
            <w:gridSpan w:val="2"/>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81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企业融资咨询</w:t>
            </w:r>
          </w:p>
        </w:tc>
        <w:tc>
          <w:tcPr>
            <w:tcW w:w="2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对公客户</w:t>
            </w:r>
          </w:p>
        </w:tc>
        <w:tc>
          <w:tcPr>
            <w:tcW w:w="3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按协议价格收取。参考标准：8-12万元/户/年（小微型企业免收）</w:t>
            </w:r>
          </w:p>
        </w:tc>
        <w:tc>
          <w:tcPr>
            <w:tcW w:w="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5" w:type="dxa"/>
            <w:gridSpan w:val="2"/>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81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企业财务管理咨询</w:t>
            </w:r>
          </w:p>
        </w:tc>
        <w:tc>
          <w:tcPr>
            <w:tcW w:w="2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对公客户</w:t>
            </w:r>
          </w:p>
        </w:tc>
        <w:tc>
          <w:tcPr>
            <w:tcW w:w="3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按协议价格收取。参考标准：10-15万元/户/年（小微型企业免收）</w:t>
            </w:r>
          </w:p>
        </w:tc>
        <w:tc>
          <w:tcPr>
            <w:tcW w:w="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5" w:type="dxa"/>
            <w:gridSpan w:val="2"/>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216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专项财务顾问类</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企业兼并与收购顾问</w:t>
            </w:r>
          </w:p>
        </w:tc>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我行为客户的资产、负债、股权的收购、出售、兼并提供的寻找交易对手、交易方案设计、组织尽职调查、安排商务谈判等顾问服务。</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对公客户</w:t>
            </w:r>
          </w:p>
        </w:tc>
        <w:tc>
          <w:tcPr>
            <w:tcW w:w="3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工作费：最低2000元/天/人，住宿费、交通费、资料费等其他费用由委托方据实支付，或按协议价格收取。成功费：按兼并收购金额的0.5%-5%收取；或按协议价格收取（小微型企业免收）</w:t>
            </w:r>
          </w:p>
        </w:tc>
        <w:tc>
          <w:tcPr>
            <w:tcW w:w="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5" w:type="dxa"/>
            <w:gridSpan w:val="2"/>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1620"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企业内部资产重组顾问</w:t>
            </w:r>
          </w:p>
        </w:tc>
        <w:tc>
          <w:tcPr>
            <w:tcW w:w="2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我行为客户的资产的重组提供的寻找交易对手、交易方案设计、组织尽职调查、安排商务谈判等顾问服务。</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对公客户</w:t>
            </w:r>
          </w:p>
        </w:tc>
        <w:tc>
          <w:tcPr>
            <w:tcW w:w="3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right="52" w:rightChars="25"/>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工作费：最低2000元/天/人，住宿费、交通费、资料费等其他费用由委托方据实支付，或按协议价格收取。成功费：按兼并收购金额的0.5%-5%收取；或按协议价格收取（小微型企业免收）</w:t>
            </w:r>
          </w:p>
        </w:tc>
        <w:tc>
          <w:tcPr>
            <w:tcW w:w="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5" w:type="dxa"/>
            <w:gridSpan w:val="2"/>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1620" w:hRule="atLeast"/>
        </w:trPr>
        <w:tc>
          <w:tcPr>
            <w:tcW w:w="551"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企业债务管理与债务重组顾问</w:t>
            </w:r>
          </w:p>
        </w:tc>
        <w:tc>
          <w:tcPr>
            <w:tcW w:w="295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我行为客户的负债的重组提供的寻找交易对手、交易方案设计、组织尽职调查、安排商务谈判等顾问服务。</w:t>
            </w:r>
          </w:p>
        </w:tc>
        <w:tc>
          <w:tcPr>
            <w:tcW w:w="1136"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对公客户</w:t>
            </w:r>
          </w:p>
        </w:tc>
        <w:tc>
          <w:tcPr>
            <w:tcW w:w="3023"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工作费：最低2000元/天/人，住宿费、交通费、资料费等其他费用由委托方据实支付，或按协议价格收取。成功费：按兼并收购金额的0.5%-5%收取；或按协议价格收取（小微型企业免收）</w:t>
            </w:r>
          </w:p>
        </w:tc>
        <w:tc>
          <w:tcPr>
            <w:tcW w:w="95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5" w:type="dxa"/>
            <w:gridSpan w:val="2"/>
            <w:vMerge w:val="continue"/>
            <w:tcBorders>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600" w:hRule="atLeast"/>
        </w:trPr>
        <w:tc>
          <w:tcPr>
            <w:tcW w:w="11225" w:type="dxa"/>
            <w:gridSpan w:val="12"/>
            <w:tcBorders>
              <w:top w:val="single" w:color="auto" w:sz="4" w:space="0"/>
              <w:left w:val="nil"/>
              <w:bottom w:val="nil"/>
              <w:right w:val="nil"/>
            </w:tcBorders>
            <w:shd w:val="clear" w:color="auto" w:fill="auto"/>
            <w:vAlign w:val="top"/>
          </w:tcPr>
          <w:p>
            <w:pPr>
              <w:jc w:val="left"/>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30"/>
                <w:szCs w:val="30"/>
                <w:u w:val="none"/>
                <w:lang w:val="en-US" w:eastAsia="zh-CN" w:bidi="ar"/>
              </w:rPr>
              <w:t>自2023年9月1日起按以上标准恢复收费！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2" w:hRule="atLeast"/>
        </w:trPr>
        <w:tc>
          <w:tcPr>
            <w:tcW w:w="11238" w:type="dxa"/>
            <w:gridSpan w:val="13"/>
            <w:tcBorders>
              <w:top w:val="nil"/>
              <w:left w:val="nil"/>
              <w:bottom w:val="single" w:color="auto" w:sz="4" w:space="0"/>
              <w:right w:val="nil"/>
            </w:tcBorders>
            <w:shd w:val="clear" w:color="auto" w:fill="auto"/>
            <w:textDirection w:val="lrTb"/>
            <w:vAlign w:val="center"/>
          </w:tcPr>
          <w:p>
            <w:pPr>
              <w:tabs>
                <w:tab w:val="left" w:pos="728"/>
              </w:tabs>
              <w:jc w:val="left"/>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32"/>
                <w:szCs w:val="32"/>
                <w:u w:val="none"/>
                <w:lang w:val="en-US" w:eastAsia="zh-CN" w:bidi="ar"/>
              </w:rPr>
              <w:t>附件：恢复服务项目列表(续）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2" w:hRule="atLeast"/>
        </w:trPr>
        <w:tc>
          <w:tcPr>
            <w:tcW w:w="551" w:type="dxa"/>
            <w:tcBorders>
              <w:top w:val="single" w:color="auto"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i w:val="0"/>
                <w:color w:val="000000"/>
                <w:kern w:val="0"/>
                <w:sz w:val="22"/>
                <w:szCs w:val="22"/>
                <w:u w:val="none"/>
                <w:lang w:val="en-US" w:eastAsia="zh-CN" w:bidi="ar"/>
              </w:rPr>
              <w:t>类别</w:t>
            </w:r>
          </w:p>
        </w:tc>
        <w:tc>
          <w:tcPr>
            <w:tcW w:w="1375" w:type="dxa"/>
            <w:gridSpan w:val="2"/>
            <w:tcBorders>
              <w:top w:val="single" w:color="auto"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收费项目</w:t>
            </w:r>
          </w:p>
        </w:tc>
        <w:tc>
          <w:tcPr>
            <w:tcW w:w="3319" w:type="dxa"/>
            <w:gridSpan w:val="2"/>
            <w:tcBorders>
              <w:top w:val="single" w:color="auto"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服务内容</w:t>
            </w:r>
          </w:p>
        </w:tc>
        <w:tc>
          <w:tcPr>
            <w:tcW w:w="995" w:type="dxa"/>
            <w:gridSpan w:val="2"/>
            <w:tcBorders>
              <w:top w:val="single" w:color="auto"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适用对象</w:t>
            </w:r>
          </w:p>
        </w:tc>
        <w:tc>
          <w:tcPr>
            <w:tcW w:w="2972" w:type="dxa"/>
            <w:gridSpan w:val="2"/>
            <w:tcBorders>
              <w:top w:val="single" w:color="auto"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ind w:left="-5460" w:leftChars="-2600" w:firstLine="5458" w:firstLineChars="2481"/>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收费标准</w:t>
            </w:r>
          </w:p>
        </w:tc>
        <w:tc>
          <w:tcPr>
            <w:tcW w:w="888" w:type="dxa"/>
            <w:gridSpan w:val="2"/>
            <w:tcBorders>
              <w:top w:val="single" w:color="auto"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优惠措施</w:t>
            </w:r>
          </w:p>
        </w:tc>
        <w:tc>
          <w:tcPr>
            <w:tcW w:w="1138"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89" w:hRule="atLeast"/>
        </w:trPr>
        <w:tc>
          <w:tcPr>
            <w:tcW w:w="551"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8.信息咨询类</w:t>
            </w:r>
          </w:p>
        </w:tc>
        <w:tc>
          <w:tcPr>
            <w:tcW w:w="375"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专项财务顾问类</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企业股份制改造及股票发行金融顾问</w:t>
            </w:r>
          </w:p>
        </w:tc>
        <w:tc>
          <w:tcPr>
            <w:tcW w:w="3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为具有上市潜力的企业实现上市目标提供财务顾问服务，包括帮助企业实施战略规划、整体重组计划、改制方案、股权私募安排，推荐上市保荐人、承销商及其他中介机构，统筹协调上市等。</w:t>
            </w:r>
          </w:p>
        </w:tc>
        <w:tc>
          <w:tcPr>
            <w:tcW w:w="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对公客户</w:t>
            </w:r>
          </w:p>
        </w:tc>
        <w:tc>
          <w:tcPr>
            <w:tcW w:w="29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工作费：最低2000元/天/人，住宿费、交通费、资料费等其他费用由委托方据实支付，或按协议价格收取。成功费：按兼并收购金额的0.5%-3%收取；或按协议价格收取（小微型企业免收）</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38" w:type="dxa"/>
            <w:gridSpan w:val="2"/>
            <w:vMerge w:val="restart"/>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63" w:hRule="atLeast"/>
        </w:trPr>
        <w:tc>
          <w:tcPr>
            <w:tcW w:w="55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股权私募顾问业务</w:t>
            </w:r>
          </w:p>
        </w:tc>
        <w:tc>
          <w:tcPr>
            <w:tcW w:w="3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有股权私募融资需求的企业提供财务顾问服务，包括规划企业资本结构、完成企业资产重组、评估企业价值、甄选潜在的战略投资者、设计企业战略引资交易结构和交易方式、为企业管理及发展战略提供合理化建议等。为股权投资基金管理人提供财务顾问服务，包括推荐投资人、推荐股权投资项目、协助基金管理人管理已投项目并提供项目管理顾问等信息分析和咨询顾问等服务。</w:t>
            </w:r>
          </w:p>
        </w:tc>
        <w:tc>
          <w:tcPr>
            <w:tcW w:w="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对公客户</w:t>
            </w:r>
          </w:p>
        </w:tc>
        <w:tc>
          <w:tcPr>
            <w:tcW w:w="29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工作费：最低2000元/天/人，住宿费、交通费、资料费等其他费用由委托方据实支付，或按协议价格收取。成功费：按兼并收购金额的2%-3%收取；或按协议价格收取（小微型企业免收）</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38" w:type="dxa"/>
            <w:gridSpan w:val="2"/>
            <w:vMerge w:val="continue"/>
            <w:tcBorders>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4" w:hRule="atLeast"/>
        </w:trPr>
        <w:tc>
          <w:tcPr>
            <w:tcW w:w="551"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13.资金业务类</w:t>
            </w:r>
          </w:p>
        </w:tc>
        <w:tc>
          <w:tcPr>
            <w:tcW w:w="137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账户监督管理服务费</w:t>
            </w:r>
          </w:p>
        </w:tc>
        <w:tc>
          <w:tcPr>
            <w:tcW w:w="3319" w:type="dxa"/>
            <w:gridSpan w:val="2"/>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为客户提供包括法律文本审核、开立监督账户、资金保管/共管、监督资金用途、披露监管资金或账务信息等各项账户监督管理服务。</w:t>
            </w:r>
          </w:p>
        </w:tc>
        <w:tc>
          <w:tcPr>
            <w:tcW w:w="995" w:type="dxa"/>
            <w:gridSpan w:val="2"/>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对公客户</w:t>
            </w:r>
          </w:p>
        </w:tc>
        <w:tc>
          <w:tcPr>
            <w:tcW w:w="297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根据服务内容，以双方协商后签订的合同或协议为准。</w:t>
            </w:r>
          </w:p>
        </w:tc>
        <w:tc>
          <w:tcPr>
            <w:tcW w:w="88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38"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小微型企业取消收费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2" w:hRule="atLeast"/>
        </w:trPr>
        <w:tc>
          <w:tcPr>
            <w:tcW w:w="11238" w:type="dxa"/>
            <w:gridSpan w:val="13"/>
            <w:tcBorders>
              <w:top w:val="single" w:color="auto" w:sz="4" w:space="0"/>
              <w:left w:val="nil"/>
              <w:bottom w:val="nil"/>
              <w:right w:val="nil"/>
            </w:tcBorders>
            <w:shd w:val="clear" w:color="auto" w:fill="auto"/>
            <w:vAlign w:val="top"/>
          </w:tcPr>
          <w:p>
            <w:pPr>
              <w:keepNext w:val="0"/>
              <w:keepLines w:val="0"/>
              <w:widowControl/>
              <w:suppressLineNumbers w:val="0"/>
              <w:ind w:right="67" w:rightChars="32"/>
              <w:jc w:val="left"/>
              <w:textAlignment w:val="center"/>
              <w:rPr>
                <w:rFonts w:hint="eastAsia" w:ascii="宋体" w:hAnsi="宋体" w:eastAsia="宋体" w:cs="宋体"/>
                <w:i w:val="0"/>
                <w:color w:val="000000"/>
                <w:sz w:val="22"/>
                <w:szCs w:val="22"/>
                <w:u w:val="none"/>
              </w:rPr>
            </w:pPr>
            <w:bookmarkStart w:id="0" w:name="_GoBack"/>
            <w:bookmarkEnd w:id="0"/>
            <w:r>
              <w:rPr>
                <w:rFonts w:hint="eastAsia" w:ascii="宋体" w:hAnsi="宋体" w:eastAsia="宋体" w:cs="宋体"/>
                <w:b/>
                <w:i w:val="0"/>
                <w:color w:val="000000"/>
                <w:kern w:val="0"/>
                <w:sz w:val="30"/>
                <w:szCs w:val="30"/>
                <w:u w:val="none"/>
                <w:lang w:val="en-US" w:eastAsia="zh-CN" w:bidi="ar"/>
              </w:rPr>
              <w:t>自2023年9月1日起按以上标准恢复收费！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D64A3"/>
    <w:rsid w:val="0FED4AEB"/>
    <w:rsid w:val="19F41721"/>
    <w:rsid w:val="30ED64A3"/>
    <w:rsid w:val="50367042"/>
    <w:rsid w:val="5C0519A2"/>
    <w:rsid w:val="6F034D9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11"/>
    <w:basedOn w:val="2"/>
    <w:qFormat/>
    <w:uiPriority w:val="0"/>
    <w:rPr>
      <w:rFonts w:hint="eastAsia" w:ascii="宋体" w:hAnsi="宋体" w:eastAsia="宋体" w:cs="宋体"/>
      <w:color w:val="000000"/>
      <w:sz w:val="22"/>
      <w:szCs w:val="22"/>
      <w:u w:val="none"/>
    </w:rPr>
  </w:style>
  <w:style w:type="character" w:customStyle="1" w:styleId="5">
    <w:name w:val="font21"/>
    <w:basedOn w:val="2"/>
    <w:qFormat/>
    <w:uiPriority w:val="0"/>
    <w:rPr>
      <w:rFonts w:hint="eastAsia" w:ascii="宋体" w:hAnsi="宋体" w:eastAsia="宋体" w:cs="宋体"/>
      <w:b/>
      <w:color w:val="000000"/>
      <w:sz w:val="22"/>
      <w:szCs w:val="22"/>
      <w:u w:val="none"/>
    </w:rPr>
  </w:style>
  <w:style w:type="character" w:customStyle="1" w:styleId="6">
    <w:name w:val="font51"/>
    <w:basedOn w:val="2"/>
    <w:qFormat/>
    <w:uiPriority w:val="0"/>
    <w:rPr>
      <w:rFonts w:hint="eastAsia" w:ascii="宋体" w:hAnsi="宋体" w:eastAsia="宋体" w:cs="宋体"/>
      <w:color w:val="000000"/>
      <w:sz w:val="22"/>
      <w:szCs w:val="22"/>
      <w:u w:val="none"/>
    </w:rPr>
  </w:style>
  <w:style w:type="character" w:customStyle="1" w:styleId="7">
    <w:name w:val="font31"/>
    <w:basedOn w:val="2"/>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2022-07-26T01:05:00Z</dcterms:created>
  <dc:creator>陈静宜</dc:creator>
  <cp:lastModifiedBy>陈静宜</cp:lastModifiedBy>
  <dcterms:modified xsi:type="dcterms:W3CDTF">2023-05-31T07:56:49Z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